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EB" w:rsidRPr="003B29EB" w:rsidRDefault="003B29EB" w:rsidP="003B29EB">
      <w:pPr>
        <w:jc w:val="center"/>
        <w:rPr>
          <w:rFonts w:eastAsia="Times New Roman"/>
          <w:sz w:val="24"/>
          <w:szCs w:val="24"/>
          <w:highlight w:val="cyan"/>
        </w:rPr>
      </w:pPr>
      <w:r w:rsidRPr="003B29EB">
        <w:rPr>
          <w:rFonts w:eastAsia="Times New Roman"/>
          <w:b/>
          <w:sz w:val="24"/>
          <w:szCs w:val="24"/>
        </w:rPr>
        <w:t xml:space="preserve">УСТОЙЧИВЫЕ ГЛАГОЛЬНО-ИМЕННЫЕ СОЧЕТАНИЯ С КОМПОНЕНТАМИ </w:t>
      </w:r>
      <w:r w:rsidRPr="003B29EB">
        <w:rPr>
          <w:rFonts w:eastAsia="Times New Roman"/>
          <w:b/>
          <w:i/>
          <w:sz w:val="24"/>
          <w:szCs w:val="24"/>
        </w:rPr>
        <w:t xml:space="preserve">ЧИНИТЬ / УЧИНИТЬ </w:t>
      </w:r>
      <w:r w:rsidRPr="003B29EB">
        <w:rPr>
          <w:rFonts w:eastAsia="Times New Roman"/>
          <w:b/>
          <w:sz w:val="24"/>
          <w:szCs w:val="24"/>
        </w:rPr>
        <w:t xml:space="preserve">В РУССКИХ ГРАМОТАХ XIV-XVI ВВ. </w:t>
      </w:r>
    </w:p>
    <w:p w:rsidR="003B29EB" w:rsidRPr="003B29EB" w:rsidRDefault="003B29EB" w:rsidP="003B29EB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3B29EB">
        <w:rPr>
          <w:rFonts w:eastAsia="Times New Roman"/>
          <w:b/>
          <w:sz w:val="24"/>
          <w:szCs w:val="24"/>
        </w:rPr>
        <w:t>Русанова</w:t>
      </w:r>
      <w:proofErr w:type="spellEnd"/>
      <w:r w:rsidRPr="003B29EB">
        <w:rPr>
          <w:rFonts w:eastAsia="Times New Roman"/>
          <w:b/>
          <w:sz w:val="24"/>
          <w:szCs w:val="24"/>
        </w:rPr>
        <w:t xml:space="preserve"> О.С.</w:t>
      </w:r>
    </w:p>
    <w:p w:rsidR="003B29EB" w:rsidRPr="003B29EB" w:rsidRDefault="003B29EB" w:rsidP="003B29EB">
      <w:pPr>
        <w:jc w:val="center"/>
        <w:rPr>
          <w:rFonts w:eastAsia="Times New Roman"/>
          <w:b/>
          <w:i/>
          <w:sz w:val="24"/>
          <w:szCs w:val="24"/>
        </w:rPr>
      </w:pPr>
      <w:r w:rsidRPr="003B29EB">
        <w:rPr>
          <w:rFonts w:eastAsia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3B29EB">
        <w:rPr>
          <w:rFonts w:eastAsia="Times New Roman"/>
          <w:b/>
          <w:i/>
          <w:sz w:val="24"/>
          <w:szCs w:val="24"/>
        </w:rPr>
        <w:t>Килина</w:t>
      </w:r>
      <w:proofErr w:type="spellEnd"/>
      <w:r w:rsidRPr="003B29EB">
        <w:rPr>
          <w:rFonts w:eastAsia="Times New Roman"/>
          <w:b/>
          <w:i/>
          <w:sz w:val="24"/>
          <w:szCs w:val="24"/>
        </w:rPr>
        <w:t xml:space="preserve"> Л.Ф.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  <w:r w:rsidRPr="003B29EB">
        <w:rPr>
          <w:rFonts w:eastAsia="Times New Roman"/>
          <w:sz w:val="24"/>
          <w:szCs w:val="24"/>
        </w:rPr>
        <w:t>Устойчивые глагольно-именные сочетания (УГИС) изучаются лингвистами довольно давно: исследования, посвященные УГИС, проводятся на материале разных языков в сопоставительном плане, а также на материале одного языка в синхроническом и диахроническом аспектах. В то же время на сегодняшний день существует незначительное количество работ, в которых описываются особенности функционирования устойчивых сочетаний в текстах разных стилей, при этом очевидно, что такие особенности есть. В последнее время все чаще встречаются работы, посвященные историческому аспекту изучения устойчивых сочетаний и позволяющие сформировать целостное представление о диахронических изменениях в структуре и семантике УГИС, понять причины употребления того или иного сочетания в текстах, имеющих разные жанрово-стилевые особенности. В связи с этим можем говорить об актуальности темы.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  <w:highlight w:val="cyan"/>
        </w:rPr>
      </w:pPr>
      <w:proofErr w:type="gramStart"/>
      <w:r w:rsidRPr="003B29EB">
        <w:rPr>
          <w:rFonts w:eastAsia="Times New Roman"/>
          <w:sz w:val="24"/>
          <w:szCs w:val="24"/>
        </w:rPr>
        <w:t xml:space="preserve">Новизна исследования обусловлена тем, что в нем впервые предпринята попытка систематизировать и описать УГИС с глаголами </w:t>
      </w:r>
      <w:r w:rsidRPr="003B29EB">
        <w:rPr>
          <w:rFonts w:eastAsia="Times New Roman"/>
          <w:i/>
          <w:sz w:val="24"/>
          <w:szCs w:val="24"/>
        </w:rPr>
        <w:t>чинить / учинить</w:t>
      </w:r>
      <w:r w:rsidRPr="003B29EB">
        <w:rPr>
          <w:rFonts w:eastAsia="Times New Roman"/>
          <w:sz w:val="24"/>
          <w:szCs w:val="24"/>
        </w:rPr>
        <w:t xml:space="preserve"> в текстах грамот, представленных в старорусском </w:t>
      </w:r>
      <w:proofErr w:type="spellStart"/>
      <w:r w:rsidRPr="003B29EB">
        <w:rPr>
          <w:rFonts w:eastAsia="Times New Roman"/>
          <w:sz w:val="24"/>
          <w:szCs w:val="24"/>
        </w:rPr>
        <w:t>подкорпусе</w:t>
      </w:r>
      <w:proofErr w:type="spellEnd"/>
      <w:r w:rsidRPr="003B29EB">
        <w:rPr>
          <w:rFonts w:eastAsia="Times New Roman"/>
          <w:sz w:val="24"/>
          <w:szCs w:val="24"/>
        </w:rPr>
        <w:t xml:space="preserve"> Национального корпуса русского языка. </w:t>
      </w:r>
      <w:proofErr w:type="gramEnd"/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  <w:r w:rsidRPr="003B29EB">
        <w:rPr>
          <w:rFonts w:eastAsia="Times New Roman"/>
          <w:sz w:val="24"/>
          <w:szCs w:val="24"/>
        </w:rPr>
        <w:t>Мы поставили перед собой цель проанализировать особенности функционирования устойчивых сочетаний с указанными глаголами в старорусских грамотах XIV-XVI вв., а также следующие задачи:</w:t>
      </w:r>
    </w:p>
    <w:p w:rsidR="003B29EB" w:rsidRPr="003B29EB" w:rsidRDefault="003B29EB" w:rsidP="003B2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</w:rPr>
      </w:pPr>
      <w:r w:rsidRPr="003B29EB">
        <w:rPr>
          <w:rFonts w:eastAsia="Times New Roman"/>
          <w:sz w:val="24"/>
          <w:szCs w:val="24"/>
        </w:rPr>
        <w:t>Определить основные признаки устойчивых глагольно-именных сочетаний на основании данных, представленных в научной литературе.</w:t>
      </w:r>
    </w:p>
    <w:p w:rsidR="003B29EB" w:rsidRPr="003B29EB" w:rsidRDefault="003B29EB" w:rsidP="003B2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</w:rPr>
      </w:pPr>
      <w:r w:rsidRPr="003B29EB">
        <w:rPr>
          <w:rFonts w:eastAsia="Times New Roman"/>
          <w:color w:val="000000"/>
          <w:sz w:val="24"/>
          <w:szCs w:val="24"/>
        </w:rPr>
        <w:t>Сделать выборку сочетаний с глагол</w:t>
      </w:r>
      <w:r w:rsidRPr="003B29EB">
        <w:rPr>
          <w:rFonts w:eastAsia="Times New Roman"/>
          <w:sz w:val="24"/>
          <w:szCs w:val="24"/>
        </w:rPr>
        <w:t>ами</w:t>
      </w:r>
      <w:r w:rsidRPr="003B29EB">
        <w:rPr>
          <w:rFonts w:eastAsia="Times New Roman"/>
          <w:color w:val="000000"/>
          <w:sz w:val="24"/>
          <w:szCs w:val="24"/>
        </w:rPr>
        <w:t xml:space="preserve"> </w:t>
      </w:r>
      <w:r w:rsidRPr="003B29EB">
        <w:rPr>
          <w:rFonts w:eastAsia="Times New Roman"/>
          <w:i/>
          <w:color w:val="000000"/>
          <w:sz w:val="24"/>
          <w:szCs w:val="24"/>
        </w:rPr>
        <w:t>чинить / учинить</w:t>
      </w:r>
      <w:r w:rsidRPr="003B29EB">
        <w:rPr>
          <w:rFonts w:eastAsia="Times New Roman"/>
          <w:color w:val="000000"/>
          <w:sz w:val="24"/>
          <w:szCs w:val="24"/>
        </w:rPr>
        <w:t xml:space="preserve"> в текстах грамот</w:t>
      </w:r>
      <w:r w:rsidRPr="003B29EB">
        <w:rPr>
          <w:rFonts w:eastAsia="Times New Roman"/>
          <w:sz w:val="24"/>
          <w:szCs w:val="24"/>
        </w:rPr>
        <w:t>.</w:t>
      </w:r>
      <w:r w:rsidRPr="003B29EB">
        <w:rPr>
          <w:rFonts w:eastAsia="Times New Roman"/>
          <w:color w:val="000000"/>
          <w:sz w:val="24"/>
          <w:szCs w:val="24"/>
        </w:rPr>
        <w:t xml:space="preserve"> </w:t>
      </w:r>
    </w:p>
    <w:p w:rsidR="003B29EB" w:rsidRPr="003B29EB" w:rsidRDefault="003B29EB" w:rsidP="003B2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Fonts w:eastAsia="Times New Roman"/>
          <w:color w:val="000000"/>
          <w:sz w:val="24"/>
          <w:szCs w:val="24"/>
        </w:rPr>
      </w:pPr>
      <w:r w:rsidRPr="003B29EB">
        <w:rPr>
          <w:rFonts w:eastAsia="Times New Roman"/>
          <w:color w:val="000000"/>
          <w:sz w:val="24"/>
          <w:szCs w:val="24"/>
        </w:rPr>
        <w:t xml:space="preserve">Выявить особенности семантики и структуры выбранных сочетаний.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  <w:r w:rsidRPr="003B29EB">
        <w:rPr>
          <w:rFonts w:eastAsia="Times New Roman"/>
          <w:sz w:val="24"/>
          <w:szCs w:val="24"/>
        </w:rPr>
        <w:t xml:space="preserve">Результаты. Проанализировав научную литературу по теме исследования, мы выяснили, что УГИС, как правило, представляют собой сочетание глагола с ослабленным значением и существительного, которое является смысловым центром сочетания. Подобные сочетания воспроизводятся в готовом виде и часто употребляются в деловых текстах как средство стандартизации.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  <w:bookmarkStart w:id="0" w:name="_gjdgxs" w:colFirst="0" w:colLast="0"/>
      <w:bookmarkEnd w:id="0"/>
      <w:r w:rsidRPr="003B29EB">
        <w:rPr>
          <w:rFonts w:eastAsia="Times New Roman"/>
          <w:sz w:val="24"/>
          <w:szCs w:val="24"/>
        </w:rPr>
        <w:t xml:space="preserve">В ходе исследования мы выяснили, что глаголы </w:t>
      </w:r>
      <w:r w:rsidRPr="003B29EB">
        <w:rPr>
          <w:rFonts w:eastAsia="Times New Roman"/>
          <w:i/>
          <w:sz w:val="24"/>
          <w:szCs w:val="24"/>
        </w:rPr>
        <w:t>чинить / учинить</w:t>
      </w:r>
      <w:r w:rsidRPr="003B29EB">
        <w:rPr>
          <w:rFonts w:eastAsia="Times New Roman"/>
          <w:sz w:val="24"/>
          <w:szCs w:val="24"/>
        </w:rPr>
        <w:t xml:space="preserve"> достаточно широко использовались в текстах грамот XIV-XVI вв.: мы обнаружили 644 случая употребления данных глаголов и 101 сочетание с ними. Однако устойчивыми являются лишь те, которые образованы по модели глагол + существительное в винительном падеже (реже в родительном падеже) без предлога. Именно такие сочетания часто встречаются в текстах грамот, в них глагол выступает в одном из следующих значений: ‘произв</w:t>
      </w:r>
      <w:r w:rsidRPr="003B29EB">
        <w:rPr>
          <w:rFonts w:eastAsia="Times New Roman"/>
          <w:sz w:val="24"/>
          <w:szCs w:val="24"/>
          <w:highlight w:val="white"/>
        </w:rPr>
        <w:t>одить / произвести’; ‘делать / сделать, совершать / совершить’; ‘оказывать / оказать’.</w:t>
      </w:r>
      <w:r w:rsidRPr="003B29EB">
        <w:rPr>
          <w:rFonts w:eastAsia="Times New Roman"/>
          <w:sz w:val="24"/>
          <w:szCs w:val="24"/>
        </w:rPr>
        <w:t xml:space="preserve"> </w:t>
      </w:r>
      <w:proofErr w:type="gramStart"/>
      <w:r w:rsidRPr="003B29EB">
        <w:rPr>
          <w:rFonts w:eastAsia="Times New Roman"/>
          <w:sz w:val="24"/>
          <w:szCs w:val="24"/>
        </w:rPr>
        <w:t xml:space="preserve">Итак, среди обнаруженных нами сочетаний устойчивыми являются 17, например: </w:t>
      </w:r>
      <w:proofErr w:type="spellStart"/>
      <w:r w:rsidRPr="003B29EB">
        <w:rPr>
          <w:rFonts w:eastAsia="Times New Roman"/>
          <w:i/>
          <w:sz w:val="24"/>
          <w:szCs w:val="24"/>
        </w:rPr>
        <w:t>чинити</w:t>
      </w:r>
      <w:proofErr w:type="spellEnd"/>
      <w:r w:rsidRPr="003B29EB">
        <w:rPr>
          <w:rFonts w:eastAsia="Times New Roman"/>
          <w:i/>
          <w:sz w:val="24"/>
          <w:szCs w:val="24"/>
        </w:rPr>
        <w:t xml:space="preserve"> / </w:t>
      </w:r>
      <w:proofErr w:type="spellStart"/>
      <w:r w:rsidRPr="003B29EB">
        <w:rPr>
          <w:rFonts w:eastAsia="Times New Roman"/>
          <w:i/>
          <w:sz w:val="24"/>
          <w:szCs w:val="24"/>
        </w:rPr>
        <w:t>учинити</w:t>
      </w:r>
      <w:proofErr w:type="spellEnd"/>
      <w:r w:rsidRPr="003B29EB">
        <w:rPr>
          <w:rFonts w:eastAsia="Times New Roman"/>
          <w:i/>
          <w:sz w:val="24"/>
          <w:szCs w:val="24"/>
        </w:rPr>
        <w:t xml:space="preserve"> управу </w:t>
      </w:r>
      <w:r w:rsidRPr="003B29EB">
        <w:rPr>
          <w:rFonts w:eastAsia="Times New Roman"/>
          <w:sz w:val="24"/>
          <w:szCs w:val="24"/>
        </w:rPr>
        <w:t xml:space="preserve">(64 употребления), </w:t>
      </w:r>
      <w:r w:rsidRPr="003B29EB">
        <w:rPr>
          <w:rFonts w:eastAsia="Times New Roman"/>
          <w:i/>
          <w:sz w:val="24"/>
          <w:szCs w:val="24"/>
        </w:rPr>
        <w:t xml:space="preserve">срок </w:t>
      </w:r>
      <w:r w:rsidRPr="003B29EB">
        <w:rPr>
          <w:rFonts w:eastAsia="Times New Roman"/>
          <w:sz w:val="24"/>
          <w:szCs w:val="24"/>
        </w:rPr>
        <w:t xml:space="preserve">(49), </w:t>
      </w:r>
      <w:r w:rsidRPr="003B29EB">
        <w:rPr>
          <w:rFonts w:eastAsia="Times New Roman"/>
          <w:i/>
          <w:sz w:val="24"/>
          <w:szCs w:val="24"/>
        </w:rPr>
        <w:t xml:space="preserve">указ </w:t>
      </w:r>
      <w:r w:rsidRPr="003B29EB">
        <w:rPr>
          <w:rFonts w:eastAsia="Times New Roman"/>
          <w:sz w:val="24"/>
          <w:szCs w:val="24"/>
        </w:rPr>
        <w:t xml:space="preserve">(41), </w:t>
      </w:r>
      <w:proofErr w:type="spellStart"/>
      <w:r w:rsidRPr="003B29EB">
        <w:rPr>
          <w:rFonts w:eastAsia="Times New Roman"/>
          <w:i/>
          <w:sz w:val="24"/>
          <w:szCs w:val="24"/>
        </w:rPr>
        <w:t>насильство</w:t>
      </w:r>
      <w:proofErr w:type="spellEnd"/>
      <w:r w:rsidRPr="003B29EB">
        <w:rPr>
          <w:rFonts w:eastAsia="Times New Roman"/>
          <w:sz w:val="24"/>
          <w:szCs w:val="24"/>
        </w:rPr>
        <w:t xml:space="preserve"> (35), </w:t>
      </w:r>
      <w:r w:rsidRPr="003B29EB">
        <w:rPr>
          <w:rFonts w:eastAsia="Times New Roman"/>
          <w:i/>
          <w:sz w:val="24"/>
          <w:szCs w:val="24"/>
        </w:rPr>
        <w:t xml:space="preserve">договор </w:t>
      </w:r>
      <w:r w:rsidRPr="003B29EB">
        <w:rPr>
          <w:rFonts w:eastAsia="Times New Roman"/>
          <w:sz w:val="24"/>
          <w:szCs w:val="24"/>
        </w:rPr>
        <w:t xml:space="preserve">(34), </w:t>
      </w:r>
      <w:r w:rsidRPr="003B29EB">
        <w:rPr>
          <w:rFonts w:eastAsia="Times New Roman"/>
          <w:i/>
          <w:sz w:val="24"/>
          <w:szCs w:val="24"/>
        </w:rPr>
        <w:t xml:space="preserve">ссоры </w:t>
      </w:r>
      <w:r w:rsidRPr="003B29EB">
        <w:rPr>
          <w:rFonts w:eastAsia="Times New Roman"/>
          <w:sz w:val="24"/>
          <w:szCs w:val="24"/>
        </w:rPr>
        <w:t xml:space="preserve">(28), </w:t>
      </w:r>
      <w:r w:rsidRPr="003B29EB">
        <w:rPr>
          <w:rFonts w:eastAsia="Times New Roman"/>
          <w:i/>
          <w:sz w:val="24"/>
          <w:szCs w:val="24"/>
        </w:rPr>
        <w:t xml:space="preserve">задору </w:t>
      </w:r>
      <w:r w:rsidRPr="003B29EB">
        <w:rPr>
          <w:rFonts w:eastAsia="Times New Roman"/>
          <w:sz w:val="24"/>
          <w:szCs w:val="24"/>
        </w:rPr>
        <w:t xml:space="preserve">(23) и др. Мы обратили внимание на то, что рассматриваемые глаголы в большинстве случаев сочетаются с отглагольными существительными, имеющими отрицательную коннотацию, например, </w:t>
      </w:r>
      <w:proofErr w:type="spellStart"/>
      <w:r w:rsidRPr="003B29EB">
        <w:rPr>
          <w:rFonts w:eastAsia="Times New Roman"/>
          <w:i/>
          <w:sz w:val="24"/>
          <w:szCs w:val="24"/>
        </w:rPr>
        <w:t>насильство</w:t>
      </w:r>
      <w:proofErr w:type="spellEnd"/>
      <w:r w:rsidRPr="003B29EB">
        <w:rPr>
          <w:rFonts w:eastAsia="Times New Roman"/>
          <w:sz w:val="24"/>
          <w:szCs w:val="24"/>
        </w:rPr>
        <w:t xml:space="preserve">, </w:t>
      </w:r>
      <w:r w:rsidRPr="003B29EB">
        <w:rPr>
          <w:rFonts w:eastAsia="Times New Roman"/>
          <w:i/>
          <w:sz w:val="24"/>
          <w:szCs w:val="24"/>
        </w:rPr>
        <w:t>ссора</w:t>
      </w:r>
      <w:r w:rsidRPr="003B29EB">
        <w:rPr>
          <w:rFonts w:eastAsia="Times New Roman"/>
          <w:sz w:val="24"/>
          <w:szCs w:val="24"/>
        </w:rPr>
        <w:t xml:space="preserve">, </w:t>
      </w:r>
      <w:r w:rsidRPr="003B29EB">
        <w:rPr>
          <w:rFonts w:eastAsia="Times New Roman"/>
          <w:i/>
          <w:sz w:val="24"/>
          <w:szCs w:val="24"/>
        </w:rPr>
        <w:t xml:space="preserve">бесчинство </w:t>
      </w:r>
      <w:r w:rsidRPr="003B29EB">
        <w:rPr>
          <w:rFonts w:eastAsia="Times New Roman"/>
          <w:sz w:val="24"/>
          <w:szCs w:val="24"/>
        </w:rPr>
        <w:t>и т.д., по значению которых можно определить значение всего</w:t>
      </w:r>
      <w:proofErr w:type="gramEnd"/>
      <w:r w:rsidRPr="003B29EB">
        <w:rPr>
          <w:rFonts w:eastAsia="Times New Roman"/>
          <w:sz w:val="24"/>
          <w:szCs w:val="24"/>
        </w:rPr>
        <w:t xml:space="preserve"> сочетания.</w:t>
      </w:r>
    </w:p>
    <w:p w:rsid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  <w:bookmarkStart w:id="1" w:name="_rdeb3vza5x78" w:colFirst="0" w:colLast="0"/>
      <w:bookmarkEnd w:id="1"/>
      <w:r w:rsidRPr="003B29EB">
        <w:rPr>
          <w:rFonts w:eastAsia="Times New Roman"/>
          <w:sz w:val="24"/>
          <w:szCs w:val="24"/>
        </w:rPr>
        <w:t xml:space="preserve">Таким образом, можно сделать вывод о том, что в старорусских грамотах часто употреблялись УГИС с компонентами </w:t>
      </w:r>
      <w:r w:rsidRPr="003B29EB">
        <w:rPr>
          <w:rFonts w:eastAsia="Times New Roman"/>
          <w:i/>
          <w:sz w:val="24"/>
          <w:szCs w:val="24"/>
        </w:rPr>
        <w:t>чинить / учинить</w:t>
      </w:r>
      <w:r w:rsidRPr="003B29EB">
        <w:rPr>
          <w:rFonts w:eastAsia="Times New Roman"/>
          <w:sz w:val="24"/>
          <w:szCs w:val="24"/>
        </w:rPr>
        <w:t>, закрепляющие различные деловые ситуации, среди которых самыми распространенными были ситуации совершения негативно оцениваемого поступка.</w:t>
      </w:r>
      <w:r>
        <w:rPr>
          <w:rFonts w:eastAsia="Times New Roman"/>
          <w:sz w:val="24"/>
          <w:szCs w:val="24"/>
        </w:rPr>
        <w:br w:type="page"/>
      </w:r>
    </w:p>
    <w:p w:rsidR="003B29EB" w:rsidRPr="003B29EB" w:rsidRDefault="003B29EB" w:rsidP="003B29EB">
      <w:pPr>
        <w:jc w:val="center"/>
        <w:rPr>
          <w:b/>
          <w:caps/>
          <w:sz w:val="24"/>
          <w:szCs w:val="24"/>
        </w:rPr>
      </w:pPr>
      <w:bookmarkStart w:id="2" w:name="_GoBack"/>
      <w:bookmarkEnd w:id="2"/>
      <w:r w:rsidRPr="003B29EB">
        <w:rPr>
          <w:b/>
          <w:caps/>
          <w:sz w:val="24"/>
          <w:szCs w:val="24"/>
        </w:rPr>
        <w:lastRenderedPageBreak/>
        <w:t>Когнитивно-дискурсивные параметры</w:t>
      </w:r>
    </w:p>
    <w:p w:rsidR="003B29EB" w:rsidRPr="003B29EB" w:rsidRDefault="003B29EB" w:rsidP="003B29EB">
      <w:pPr>
        <w:jc w:val="center"/>
        <w:rPr>
          <w:b/>
          <w:caps/>
          <w:sz w:val="24"/>
          <w:szCs w:val="24"/>
        </w:rPr>
      </w:pPr>
      <w:r w:rsidRPr="003B29EB">
        <w:rPr>
          <w:b/>
          <w:caps/>
          <w:sz w:val="24"/>
          <w:szCs w:val="24"/>
        </w:rPr>
        <w:t>дискурса журналиста Д. Киселева</w:t>
      </w:r>
    </w:p>
    <w:p w:rsidR="003B29EB" w:rsidRPr="003B29EB" w:rsidRDefault="003B29EB" w:rsidP="003B29EB">
      <w:pPr>
        <w:jc w:val="center"/>
        <w:rPr>
          <w:b/>
          <w:sz w:val="24"/>
          <w:szCs w:val="24"/>
        </w:rPr>
      </w:pPr>
      <w:r w:rsidRPr="003B29EB">
        <w:rPr>
          <w:b/>
          <w:sz w:val="24"/>
          <w:szCs w:val="24"/>
        </w:rPr>
        <w:t>Хакимова А.М.</w:t>
      </w:r>
    </w:p>
    <w:p w:rsidR="003B29EB" w:rsidRPr="003B29EB" w:rsidRDefault="003B29EB" w:rsidP="003B29EB">
      <w:pPr>
        <w:jc w:val="center"/>
        <w:rPr>
          <w:rFonts w:eastAsia="Times New Roman"/>
          <w:b/>
          <w:i/>
          <w:sz w:val="24"/>
          <w:szCs w:val="24"/>
        </w:rPr>
      </w:pPr>
      <w:r w:rsidRPr="003B29EB">
        <w:rPr>
          <w:rFonts w:eastAsia="Times New Roman"/>
          <w:b/>
          <w:i/>
          <w:sz w:val="24"/>
          <w:szCs w:val="24"/>
        </w:rPr>
        <w:t xml:space="preserve">Научный руководитель: к.ф.н., доцент </w:t>
      </w:r>
      <w:r>
        <w:rPr>
          <w:rFonts w:eastAsia="Times New Roman"/>
          <w:b/>
          <w:i/>
          <w:sz w:val="24"/>
          <w:szCs w:val="24"/>
        </w:rPr>
        <w:t>Копылова Т.Р.</w:t>
      </w:r>
      <w:r w:rsidRPr="003B29EB">
        <w:rPr>
          <w:rFonts w:eastAsia="Times New Roman"/>
          <w:b/>
          <w:i/>
          <w:sz w:val="24"/>
          <w:szCs w:val="24"/>
        </w:rPr>
        <w:t xml:space="preserve">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 xml:space="preserve">Возникновение </w:t>
      </w:r>
      <w:proofErr w:type="spellStart"/>
      <w:r w:rsidRPr="003B29EB">
        <w:rPr>
          <w:sz w:val="24"/>
          <w:szCs w:val="24"/>
        </w:rPr>
        <w:t>когнитивно</w:t>
      </w:r>
      <w:proofErr w:type="spellEnd"/>
      <w:r w:rsidRPr="003B29EB">
        <w:rPr>
          <w:sz w:val="24"/>
          <w:szCs w:val="24"/>
        </w:rPr>
        <w:t xml:space="preserve">-дискурсивного направления в отечественной лингвистике связано с именем Е. С. </w:t>
      </w:r>
      <w:proofErr w:type="spellStart"/>
      <w:r w:rsidRPr="003B29EB">
        <w:rPr>
          <w:sz w:val="24"/>
          <w:szCs w:val="24"/>
        </w:rPr>
        <w:t>Кубряковой</w:t>
      </w:r>
      <w:proofErr w:type="spellEnd"/>
      <w:r w:rsidRPr="003B29EB">
        <w:rPr>
          <w:sz w:val="24"/>
          <w:szCs w:val="24"/>
        </w:rPr>
        <w:t xml:space="preserve">. Оно позволяет учитывать при описании языковых явлений когнитивную и коммуникативную  функции. Соответственно, каждое языковое явление может считаться адекватно описанным и разъясненным только в тех случаях, если оно рассмотрено на перекрестке </w:t>
      </w:r>
      <w:proofErr w:type="spellStart"/>
      <w:r w:rsidRPr="003B29EB">
        <w:rPr>
          <w:sz w:val="24"/>
          <w:szCs w:val="24"/>
        </w:rPr>
        <w:t>когниции</w:t>
      </w:r>
      <w:proofErr w:type="spellEnd"/>
      <w:r w:rsidRPr="003B29EB">
        <w:rPr>
          <w:sz w:val="24"/>
          <w:szCs w:val="24"/>
        </w:rPr>
        <w:t xml:space="preserve"> и коммуникации.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proofErr w:type="spellStart"/>
      <w:r w:rsidRPr="003B29EB">
        <w:rPr>
          <w:sz w:val="24"/>
          <w:szCs w:val="24"/>
        </w:rPr>
        <w:t>Когнитивно</w:t>
      </w:r>
      <w:proofErr w:type="spellEnd"/>
      <w:r w:rsidRPr="003B29EB">
        <w:rPr>
          <w:sz w:val="24"/>
          <w:szCs w:val="24"/>
        </w:rPr>
        <w:t xml:space="preserve">-дискурсивная интерпретация контекста связана с проблемой индивидуального и коллективного сознания: субъект дискурсивной деятельности сочетает в себе как признаки культуры и социума, так и индивидуально-личностные особенности.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>В рамках данной парадигмы актуализируются исследования персонального дискурса, в том числе журналистского.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 xml:space="preserve">Научная новизна данной работы заключается в выявлении </w:t>
      </w:r>
      <w:proofErr w:type="spellStart"/>
      <w:r w:rsidRPr="003B29EB">
        <w:rPr>
          <w:sz w:val="24"/>
          <w:szCs w:val="24"/>
        </w:rPr>
        <w:t>когнитивно</w:t>
      </w:r>
      <w:proofErr w:type="spellEnd"/>
      <w:r w:rsidRPr="003B29EB">
        <w:rPr>
          <w:sz w:val="24"/>
          <w:szCs w:val="24"/>
        </w:rPr>
        <w:t>-дискурсивных параметров в персональном журналистском дискурсе, которые обусловливают максимальную эффективность воздействия на адресата. Актуальность исследования связана с повышенным интересом к проблеме речевого воздействия в средствах массовой информации и способам влияния на целевую аудиторию новостной программы.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>Материалом исследования выступают репортажи еженедельной авторской программы «Вести недели». Всего проанализировано 128 текстов длительностью 60 минут каждый.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 xml:space="preserve">Цель работы заключается в выявлении и анализе </w:t>
      </w:r>
      <w:proofErr w:type="spellStart"/>
      <w:r w:rsidRPr="003B29EB">
        <w:rPr>
          <w:sz w:val="24"/>
          <w:szCs w:val="24"/>
        </w:rPr>
        <w:t>когнитивно</w:t>
      </w:r>
      <w:proofErr w:type="spellEnd"/>
      <w:r w:rsidRPr="003B29EB">
        <w:rPr>
          <w:sz w:val="24"/>
          <w:szCs w:val="24"/>
        </w:rPr>
        <w:t>-дискурсивных параметров персонального дискурса журналиста Дмитрия Киселева.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  <w:shd w:val="clear" w:color="auto" w:fill="FFFFFF"/>
        </w:rPr>
      </w:pPr>
      <w:r w:rsidRPr="003B29EB">
        <w:rPr>
          <w:sz w:val="24"/>
          <w:szCs w:val="24"/>
        </w:rPr>
        <w:t xml:space="preserve">В представленном исследовании </w:t>
      </w:r>
      <w:r w:rsidRPr="003B29EB">
        <w:rPr>
          <w:sz w:val="24"/>
          <w:szCs w:val="24"/>
          <w:shd w:val="clear" w:color="auto" w:fill="FFFFFF"/>
        </w:rPr>
        <w:t>анализируется дискурс телеведущего Дмитрия Киселева с точки зрения коммуникативных параметров, определяющих воздействия его речи на целевую аудиторию новостной программы.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sz w:val="24"/>
          <w:szCs w:val="24"/>
        </w:rPr>
      </w:pPr>
      <w:r w:rsidRPr="003B29EB">
        <w:rPr>
          <w:sz w:val="24"/>
          <w:szCs w:val="24"/>
        </w:rPr>
        <w:t xml:space="preserve">На основе проведенного исследования мы можем утверждать, что в своем дискурсе ведущий Дмитрий Киселев оперирует большим количеством различных средств и тактик воздействия на зрителей, с помощью которых он передает зрителю свое позицию, свое представление о предмете речи. </w:t>
      </w:r>
    </w:p>
    <w:p w:rsidR="003B29EB" w:rsidRPr="003B29EB" w:rsidRDefault="003B29EB" w:rsidP="003B29EB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3B29EB">
        <w:rPr>
          <w:rFonts w:eastAsia="Times New Roman"/>
          <w:sz w:val="24"/>
          <w:szCs w:val="24"/>
          <w:lang w:eastAsia="ru-RU"/>
        </w:rPr>
        <w:t>Проведенный анализ репортажей позволил вывить стратегии в его дискурсе, основными из которых являются:</w:t>
      </w:r>
    </w:p>
    <w:p w:rsidR="003B29EB" w:rsidRPr="003B29EB" w:rsidRDefault="003B29EB" w:rsidP="003B29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3B29EB">
        <w:rPr>
          <w:rFonts w:eastAsia="Times New Roman"/>
          <w:sz w:val="24"/>
          <w:szCs w:val="24"/>
          <w:lang w:eastAsia="ru-RU"/>
        </w:rPr>
        <w:t>Псевдорационально</w:t>
      </w:r>
      <w:proofErr w:type="spellEnd"/>
      <w:r w:rsidRPr="003B29EB">
        <w:rPr>
          <w:rFonts w:eastAsia="Times New Roman"/>
          <w:sz w:val="24"/>
          <w:szCs w:val="24"/>
          <w:lang w:eastAsia="ru-RU"/>
        </w:rPr>
        <w:t>-эвристическая стратегия, цель которой – создать иллюзию объективного, беспристрастного рассуждения с намерением навязать адресату определенную позицию.</w:t>
      </w:r>
    </w:p>
    <w:p w:rsidR="003B29EB" w:rsidRPr="003B29EB" w:rsidRDefault="003B29EB" w:rsidP="003B29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3B29EB">
        <w:rPr>
          <w:rFonts w:eastAsia="Times New Roman"/>
          <w:sz w:val="24"/>
          <w:szCs w:val="24"/>
          <w:lang w:eastAsia="ru-RU"/>
        </w:rPr>
        <w:t>Фрустрационная</w:t>
      </w:r>
      <w:proofErr w:type="spellEnd"/>
      <w:r w:rsidRPr="003B29EB">
        <w:rPr>
          <w:rFonts w:eastAsia="Times New Roman"/>
          <w:sz w:val="24"/>
          <w:szCs w:val="24"/>
          <w:lang w:eastAsia="ru-RU"/>
        </w:rPr>
        <w:t xml:space="preserve"> стратегия, целью которой является стремление вывести адресата из состояния эмоционального равновесия путем запугивания, создания психологического напряжения.</w:t>
      </w:r>
    </w:p>
    <w:p w:rsidR="003B29EB" w:rsidRPr="003B29EB" w:rsidRDefault="003B29EB" w:rsidP="003B29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29EB">
        <w:rPr>
          <w:rFonts w:eastAsia="Times New Roman"/>
          <w:sz w:val="24"/>
          <w:szCs w:val="24"/>
          <w:lang w:eastAsia="ru-RU"/>
        </w:rPr>
        <w:t>Стратегия героизации. Представленная стратегия заключается в намеренном возвеличивании авторитета героя репортажа в глазах и мыслях адресата.</w:t>
      </w:r>
    </w:p>
    <w:p w:rsidR="003B29EB" w:rsidRPr="003B29EB" w:rsidRDefault="003B29EB" w:rsidP="003B29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29EB">
        <w:rPr>
          <w:rFonts w:eastAsia="Times New Roman"/>
          <w:sz w:val="24"/>
          <w:szCs w:val="24"/>
          <w:lang w:eastAsia="ru-RU"/>
        </w:rPr>
        <w:t>Стратегия дискредитации –</w:t>
      </w:r>
      <w:r w:rsidRPr="003B29EB">
        <w:rPr>
          <w:rFonts w:eastAsia="Times New Roman"/>
          <w:color w:val="000000"/>
          <w:sz w:val="24"/>
          <w:szCs w:val="24"/>
          <w:lang w:eastAsia="ru-RU"/>
        </w:rPr>
        <w:t xml:space="preserve"> используется с целью преуменьшить авторитет объекта, унизить или оскорбить его.</w:t>
      </w:r>
    </w:p>
    <w:p w:rsidR="003B29EB" w:rsidRPr="003B29EB" w:rsidRDefault="003B29EB" w:rsidP="003B29EB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3B29EB">
        <w:rPr>
          <w:rFonts w:eastAsia="Times New Roman"/>
          <w:color w:val="000000"/>
          <w:sz w:val="24"/>
          <w:szCs w:val="24"/>
          <w:lang w:eastAsia="ru-RU"/>
        </w:rPr>
        <w:t xml:space="preserve">Наиболее частотной стратегией, используемой тележурналистом, оказались стратегии дискредитации и героизации. В результате их реализации у массового зрителя происходит снижение доверия к объекту описания. Данной стратегии противопоставлена стратегия героизации, благодаря которой создается положительный образ объекта описания. </w:t>
      </w:r>
      <w:r w:rsidRPr="003B29EB">
        <w:rPr>
          <w:rFonts w:eastAsia="Times New Roman"/>
          <w:sz w:val="24"/>
          <w:szCs w:val="24"/>
          <w:lang w:eastAsia="ru-RU"/>
        </w:rPr>
        <w:t xml:space="preserve">Обычно это происходит с целью возвеличивания авторитета нашей страны или главы нашего государства и преуменьшения авторитета зарубежных стран и их представителей. </w:t>
      </w:r>
      <w:r w:rsidRPr="003B29EB">
        <w:rPr>
          <w:rFonts w:eastAsia="Times New Roman"/>
          <w:color w:val="000000"/>
          <w:sz w:val="24"/>
          <w:szCs w:val="24"/>
          <w:lang w:eastAsia="ru-RU"/>
        </w:rPr>
        <w:t xml:space="preserve">Таким образом, стратегия дискредитации и героизации производят </w:t>
      </w:r>
      <w:r w:rsidRPr="003B29E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противоположные эффекты: одна формирует в сознании адресата негативное изображение объекта описания, другая – положительное. </w:t>
      </w:r>
    </w:p>
    <w:p w:rsidR="003B29EB" w:rsidRPr="003B29EB" w:rsidRDefault="003B29EB" w:rsidP="003B29EB">
      <w:pPr>
        <w:tabs>
          <w:tab w:val="left" w:pos="993"/>
        </w:tabs>
        <w:ind w:firstLine="567"/>
        <w:rPr>
          <w:rFonts w:eastAsia="Times New Roman"/>
          <w:sz w:val="24"/>
          <w:szCs w:val="24"/>
        </w:rPr>
      </w:pPr>
    </w:p>
    <w:p w:rsidR="008276B6" w:rsidRDefault="008276B6"/>
    <w:sectPr w:rsidR="0082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3268"/>
    <w:multiLevelType w:val="hybridMultilevel"/>
    <w:tmpl w:val="A83A3076"/>
    <w:lvl w:ilvl="0" w:tplc="E750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D2BDE"/>
    <w:multiLevelType w:val="multilevel"/>
    <w:tmpl w:val="D2B294D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4"/>
    <w:rsid w:val="003B29EB"/>
    <w:rsid w:val="005130E4"/>
    <w:rsid w:val="008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5741</Characters>
  <Application>Microsoft Office Word</Application>
  <DocSecurity>0</DocSecurity>
  <Lines>47</Lines>
  <Paragraphs>13</Paragraphs>
  <ScaleCrop>false</ScaleCrop>
  <Company>UdSU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Невоструева</dc:creator>
  <cp:keywords/>
  <dc:description/>
  <cp:lastModifiedBy>Невоструева</cp:lastModifiedBy>
  <cp:revision>2</cp:revision>
  <dcterms:created xsi:type="dcterms:W3CDTF">2020-06-02T08:03:00Z</dcterms:created>
  <dcterms:modified xsi:type="dcterms:W3CDTF">2020-06-02T08:06:00Z</dcterms:modified>
</cp:coreProperties>
</file>